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C6" w:rsidRPr="00A76651" w:rsidRDefault="00EB06C6" w:rsidP="00EB06C6">
      <w:pPr>
        <w:pStyle w:val="Heading2"/>
        <w:numPr>
          <w:ilvl w:val="0"/>
          <w:numId w:val="0"/>
        </w:numPr>
        <w:ind w:left="568"/>
        <w:rPr>
          <w:rFonts w:asciiTheme="minorHAnsi" w:hAnsiTheme="minorHAnsi" w:cstheme="minorHAnsi"/>
          <w:lang w:val="el-GR"/>
        </w:rPr>
      </w:pPr>
      <w:bookmarkStart w:id="0" w:name="_Toc100673146"/>
      <w:r>
        <w:rPr>
          <w:rFonts w:asciiTheme="minorHAnsi" w:hAnsiTheme="minorHAnsi" w:cstheme="minorHAnsi"/>
          <w:lang w:val="el-GR"/>
        </w:rPr>
        <w:t xml:space="preserve">5.2 </w:t>
      </w:r>
      <w:r w:rsidRPr="00A76651">
        <w:rPr>
          <w:rFonts w:asciiTheme="minorHAnsi" w:hAnsiTheme="minorHAnsi" w:cstheme="minorHAnsi"/>
          <w:lang w:val="el-GR"/>
        </w:rPr>
        <w:t>ΠΑΡΑΡΤΗΜΑ ΙΙ</w:t>
      </w:r>
      <w:bookmarkStart w:id="1" w:name="_GoBack"/>
      <w:bookmarkEnd w:id="1"/>
      <w:r w:rsidRPr="00A76651">
        <w:rPr>
          <w:rFonts w:asciiTheme="minorHAnsi" w:hAnsiTheme="minorHAnsi" w:cstheme="minorHAnsi"/>
          <w:lang w:val="el-GR"/>
        </w:rPr>
        <w:t xml:space="preserve"> –  ΥΠΟΔΕΙΓΜΑ ΟΙΚΟΝΟΜΙΚ</w:t>
      </w:r>
      <w:r>
        <w:rPr>
          <w:rFonts w:asciiTheme="minorHAnsi" w:hAnsiTheme="minorHAnsi" w:cstheme="minorHAnsi"/>
          <w:lang w:val="el-GR"/>
        </w:rPr>
        <w:t>ΗΣ</w:t>
      </w:r>
      <w:r w:rsidRPr="00A76651">
        <w:rPr>
          <w:rFonts w:asciiTheme="minorHAnsi" w:hAnsiTheme="minorHAnsi" w:cstheme="minorHAnsi"/>
          <w:lang w:val="el-GR"/>
        </w:rPr>
        <w:t xml:space="preserve"> ΠΡΟΣΦΟΡ</w:t>
      </w:r>
      <w:bookmarkEnd w:id="0"/>
      <w:r>
        <w:rPr>
          <w:rFonts w:asciiTheme="minorHAnsi" w:hAnsiTheme="minorHAnsi" w:cstheme="minorHAnsi"/>
          <w:lang w:val="el-GR"/>
        </w:rPr>
        <w:t>ΑΣ</w:t>
      </w:r>
    </w:p>
    <w:p w:rsidR="00EB06C6" w:rsidRPr="00A76651" w:rsidRDefault="00EB06C6" w:rsidP="00EB06C6">
      <w:pPr>
        <w:suppressAutoHyphens w:val="0"/>
        <w:autoSpaceDE w:val="0"/>
        <w:spacing w:before="57" w:after="40"/>
        <w:jc w:val="center"/>
        <w:rPr>
          <w:rFonts w:asciiTheme="minorHAnsi" w:hAnsiTheme="minorHAnsi" w:cstheme="minorHAnsi"/>
          <w:b/>
          <w:color w:val="002060"/>
          <w:szCs w:val="22"/>
          <w:u w:val="single"/>
          <w:lang w:val="el-GR"/>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EB06C6" w:rsidRPr="00EB06C6" w:rsidTr="000F560B">
        <w:trPr>
          <w:cantSplit/>
          <w:trHeight w:val="591"/>
          <w:jc w:val="center"/>
        </w:trPr>
        <w:tc>
          <w:tcPr>
            <w:tcW w:w="2608" w:type="dxa"/>
          </w:tcPr>
          <w:p w:rsidR="00EB06C6" w:rsidRPr="00A76651" w:rsidRDefault="00EB06C6" w:rsidP="000F560B">
            <w:pPr>
              <w:ind w:left="-71"/>
              <w:rPr>
                <w:rFonts w:asciiTheme="minorHAnsi" w:hAnsiTheme="minorHAnsi" w:cstheme="minorHAnsi"/>
                <w:b/>
                <w:szCs w:val="22"/>
                <w:lang w:val="en-US"/>
              </w:rPr>
            </w:pPr>
            <w:r w:rsidRPr="00A76651">
              <w:rPr>
                <w:rFonts w:asciiTheme="minorHAnsi" w:hAnsiTheme="minorHAnsi" w:cstheme="minorHAnsi"/>
                <w:b/>
                <w:szCs w:val="22"/>
              </w:rPr>
              <w:t>ΕΓΝΑΤΙΑ ΟΔΟΣ Α.Ε.</w:t>
            </w:r>
          </w:p>
        </w:tc>
        <w:tc>
          <w:tcPr>
            <w:tcW w:w="2340" w:type="dxa"/>
          </w:tcPr>
          <w:p w:rsidR="00EB06C6" w:rsidRPr="00A76651" w:rsidRDefault="00EB06C6" w:rsidP="000F560B">
            <w:pPr>
              <w:jc w:val="right"/>
              <w:rPr>
                <w:rFonts w:asciiTheme="minorHAnsi" w:hAnsiTheme="minorHAnsi" w:cstheme="minorHAnsi"/>
                <w:b/>
                <w:szCs w:val="22"/>
              </w:rPr>
            </w:pPr>
            <w:r w:rsidRPr="00A76651">
              <w:rPr>
                <w:rFonts w:asciiTheme="minorHAnsi" w:hAnsiTheme="minorHAnsi" w:cstheme="minorHAnsi"/>
                <w:b/>
                <w:szCs w:val="22"/>
              </w:rPr>
              <w:t>ΑΝΤΙΚΕΙΜΕΝΟ:</w:t>
            </w:r>
          </w:p>
        </w:tc>
        <w:tc>
          <w:tcPr>
            <w:tcW w:w="4961" w:type="dxa"/>
          </w:tcPr>
          <w:p w:rsidR="00EB06C6" w:rsidRPr="00F54FBC" w:rsidRDefault="00EB06C6" w:rsidP="000F560B">
            <w:pPr>
              <w:rPr>
                <w:rFonts w:asciiTheme="minorHAnsi" w:hAnsiTheme="minorHAnsi" w:cstheme="minorHAnsi"/>
                <w:b/>
                <w:szCs w:val="22"/>
                <w:lang w:val="el-GR"/>
              </w:rPr>
            </w:pPr>
            <w:r w:rsidRPr="00F54FBC">
              <w:rPr>
                <w:b/>
                <w:bCs/>
                <w:color w:val="000000"/>
                <w:szCs w:val="22"/>
                <w:lang w:val="el-GR"/>
              </w:rPr>
              <w:t>Παροχή Υπηρεσιών Εκκένωσης Βόθρων για δύο (2) έτη</w:t>
            </w:r>
            <w:r w:rsidRPr="004D3A02">
              <w:rPr>
                <w:b/>
                <w:szCs w:val="22"/>
                <w:lang w:val="el-GR"/>
              </w:rPr>
              <w:t xml:space="preserve"> - </w:t>
            </w:r>
            <w:r w:rsidRPr="004D3A02">
              <w:rPr>
                <w:rFonts w:asciiTheme="minorHAnsi" w:hAnsiTheme="minorHAnsi" w:cstheme="minorHAnsi"/>
                <w:b/>
                <w:szCs w:val="22"/>
                <w:lang w:val="el-GR"/>
              </w:rPr>
              <w:t xml:space="preserve">Κωδικός Αναφοράς </w:t>
            </w:r>
            <w:r w:rsidRPr="00F54FBC">
              <w:rPr>
                <w:rFonts w:asciiTheme="minorHAnsi" w:hAnsiTheme="minorHAnsi" w:cstheme="minorHAnsi"/>
                <w:b/>
                <w:szCs w:val="22"/>
                <w:lang w:val="el-GR"/>
              </w:rPr>
              <w:t>5966</w:t>
            </w:r>
          </w:p>
        </w:tc>
      </w:tr>
      <w:tr w:rsidR="00EB06C6" w:rsidRPr="00655B8A" w:rsidTr="000F560B">
        <w:trPr>
          <w:cantSplit/>
          <w:trHeight w:val="258"/>
          <w:jc w:val="center"/>
        </w:trPr>
        <w:tc>
          <w:tcPr>
            <w:tcW w:w="2608" w:type="dxa"/>
          </w:tcPr>
          <w:p w:rsidR="00EB06C6" w:rsidRPr="004D3A02" w:rsidRDefault="00EB06C6" w:rsidP="000F560B">
            <w:pPr>
              <w:ind w:left="-71"/>
              <w:rPr>
                <w:rFonts w:asciiTheme="minorHAnsi" w:hAnsiTheme="minorHAnsi" w:cstheme="minorHAnsi"/>
                <w:b/>
                <w:szCs w:val="22"/>
                <w:lang w:val="el-GR"/>
              </w:rPr>
            </w:pPr>
          </w:p>
        </w:tc>
        <w:tc>
          <w:tcPr>
            <w:tcW w:w="2340" w:type="dxa"/>
          </w:tcPr>
          <w:p w:rsidR="00EB06C6" w:rsidRPr="00655B8A" w:rsidRDefault="00EB06C6" w:rsidP="000F560B">
            <w:pPr>
              <w:ind w:left="-74"/>
              <w:jc w:val="right"/>
              <w:rPr>
                <w:rFonts w:asciiTheme="minorHAnsi" w:hAnsiTheme="minorHAnsi" w:cstheme="minorHAnsi"/>
                <w:b/>
                <w:szCs w:val="22"/>
                <w:lang w:val="en-US"/>
              </w:rPr>
            </w:pPr>
            <w:r w:rsidRPr="00A76651">
              <w:rPr>
                <w:rFonts w:asciiTheme="minorHAnsi" w:hAnsiTheme="minorHAnsi" w:cstheme="minorHAnsi"/>
                <w:b/>
                <w:szCs w:val="22"/>
              </w:rPr>
              <w:t>ΠΡΟΫΠΟΛΟΓΙΣΜΟΣ:</w:t>
            </w:r>
          </w:p>
        </w:tc>
        <w:tc>
          <w:tcPr>
            <w:tcW w:w="4961" w:type="dxa"/>
          </w:tcPr>
          <w:p w:rsidR="00EB06C6" w:rsidRPr="00655B8A" w:rsidRDefault="00EB06C6" w:rsidP="000F560B">
            <w:pPr>
              <w:rPr>
                <w:rFonts w:asciiTheme="minorHAnsi" w:hAnsiTheme="minorHAnsi" w:cstheme="minorHAnsi"/>
                <w:b/>
                <w:szCs w:val="22"/>
                <w:lang w:val="el-GR"/>
              </w:rPr>
            </w:pPr>
            <w:r w:rsidRPr="00655B8A">
              <w:rPr>
                <w:rFonts w:asciiTheme="minorHAnsi" w:hAnsiTheme="minorHAnsi" w:cstheme="minorHAnsi"/>
                <w:b/>
                <w:szCs w:val="22"/>
                <w:lang w:val="el-GR"/>
              </w:rPr>
              <w:t>15.</w:t>
            </w:r>
            <w:r>
              <w:rPr>
                <w:rFonts w:asciiTheme="minorHAnsi" w:hAnsiTheme="minorHAnsi" w:cstheme="minorHAnsi"/>
                <w:b/>
                <w:szCs w:val="22"/>
                <w:lang w:val="en-US"/>
              </w:rPr>
              <w:t>000</w:t>
            </w:r>
            <w:r w:rsidRPr="00655B8A">
              <w:rPr>
                <w:rFonts w:asciiTheme="minorHAnsi" w:hAnsiTheme="minorHAnsi" w:cstheme="minorHAnsi"/>
                <w:b/>
                <w:szCs w:val="22"/>
                <w:lang w:val="el-GR"/>
              </w:rPr>
              <w:t>,00€ (χωρίς ΦΠΑ)</w:t>
            </w:r>
          </w:p>
        </w:tc>
      </w:tr>
    </w:tbl>
    <w:p w:rsidR="00EB06C6" w:rsidRPr="00655B8A" w:rsidRDefault="00EB06C6" w:rsidP="00EB06C6">
      <w:pPr>
        <w:spacing w:after="60"/>
        <w:jc w:val="center"/>
        <w:rPr>
          <w:rFonts w:asciiTheme="minorHAnsi" w:hAnsiTheme="minorHAnsi" w:cstheme="minorHAnsi"/>
          <w:b/>
          <w:sz w:val="24"/>
          <w:u w:val="single"/>
          <w:lang w:val="el-GR"/>
        </w:rPr>
      </w:pPr>
    </w:p>
    <w:p w:rsidR="00EB06C6" w:rsidRPr="00655B8A" w:rsidRDefault="00EB06C6" w:rsidP="00EB06C6">
      <w:pPr>
        <w:spacing w:after="60"/>
        <w:jc w:val="center"/>
        <w:rPr>
          <w:rFonts w:asciiTheme="minorHAnsi" w:hAnsiTheme="minorHAnsi" w:cstheme="minorHAnsi"/>
          <w:b/>
          <w:sz w:val="24"/>
          <w:u w:val="single"/>
          <w:lang w:val="el-GR"/>
        </w:rPr>
      </w:pPr>
      <w:r w:rsidRPr="00655B8A">
        <w:rPr>
          <w:rFonts w:asciiTheme="minorHAnsi" w:hAnsiTheme="minorHAnsi" w:cstheme="minorHAnsi"/>
          <w:b/>
          <w:sz w:val="24"/>
          <w:u w:val="single"/>
          <w:lang w:val="el-GR"/>
        </w:rPr>
        <w:t>ΟΙΚΟΝΟΜΙΚΗ ΠΡΟΣΦΟΡΑ</w:t>
      </w:r>
    </w:p>
    <w:p w:rsidR="00EB06C6" w:rsidRDefault="00EB06C6" w:rsidP="00EB06C6">
      <w:pPr>
        <w:keepNext/>
        <w:outlineLvl w:val="2"/>
        <w:rPr>
          <w:rFonts w:asciiTheme="minorHAnsi" w:hAnsiTheme="minorHAnsi" w:cstheme="minorHAnsi"/>
          <w:sz w:val="20"/>
          <w:lang w:val="el-GR"/>
        </w:rPr>
      </w:pPr>
      <w:r w:rsidRPr="004D3A02">
        <w:rPr>
          <w:rFonts w:asciiTheme="minorHAnsi" w:hAnsiTheme="minorHAnsi" w:cstheme="minorHAnsi"/>
          <w:sz w:val="20"/>
          <w:lang w:val="el-GR"/>
        </w:rPr>
        <w:t>Της επιχείρησης ή της Ένωσης ή Κοινοπραξίας επιχειρήσεων …………………..…….....……......................................................……………………………………………………………..……………………………..……..………...........................................................................</w:t>
      </w:r>
      <w:r>
        <w:rPr>
          <w:rFonts w:asciiTheme="minorHAnsi" w:hAnsiTheme="minorHAnsi" w:cstheme="minorHAnsi"/>
          <w:sz w:val="20"/>
          <w:lang w:val="el-GR"/>
        </w:rPr>
        <w:t>……………………</w:t>
      </w:r>
      <w:r w:rsidRPr="004D3A02">
        <w:rPr>
          <w:rFonts w:asciiTheme="minorHAnsi" w:hAnsiTheme="minorHAnsi" w:cstheme="minorHAnsi"/>
          <w:sz w:val="20"/>
          <w:lang w:val="el-GR"/>
        </w:rPr>
        <w:t>…………………………..……………………………..…………................................................................................……………………………………………………………..…………………..……….....……………..........................................................................με</w:t>
      </w:r>
      <w:r>
        <w:rPr>
          <w:rFonts w:asciiTheme="minorHAnsi" w:hAnsiTheme="minorHAnsi" w:cstheme="minorHAnsi"/>
          <w:sz w:val="20"/>
          <w:lang w:val="el-GR"/>
        </w:rPr>
        <w:t xml:space="preserve"> </w:t>
      </w:r>
      <w:r w:rsidRPr="004D3A02">
        <w:rPr>
          <w:rFonts w:asciiTheme="minorHAnsi" w:hAnsiTheme="minorHAnsi" w:cstheme="minorHAnsi"/>
          <w:sz w:val="20"/>
          <w:lang w:val="el-GR"/>
        </w:rPr>
        <w:t>έδρα τ……………………………..........................................οδός..............................................</w:t>
      </w:r>
      <w:r>
        <w:rPr>
          <w:rFonts w:asciiTheme="minorHAnsi" w:hAnsiTheme="minorHAnsi" w:cstheme="minorHAnsi"/>
          <w:sz w:val="20"/>
          <w:lang w:val="el-GR"/>
        </w:rPr>
        <w:t>.</w:t>
      </w:r>
      <w:r w:rsidRPr="004D3A02">
        <w:rPr>
          <w:rFonts w:asciiTheme="minorHAnsi" w:hAnsiTheme="minorHAnsi" w:cstheme="minorHAnsi"/>
          <w:sz w:val="20"/>
          <w:lang w:val="el-GR"/>
        </w:rPr>
        <w:t>..</w:t>
      </w:r>
      <w:r>
        <w:rPr>
          <w:rFonts w:asciiTheme="minorHAnsi" w:hAnsiTheme="minorHAnsi" w:cstheme="minorHAnsi"/>
          <w:sz w:val="20"/>
          <w:lang w:val="el-GR"/>
        </w:rPr>
        <w:t xml:space="preserve"> </w:t>
      </w:r>
    </w:p>
    <w:p w:rsidR="00EB06C6" w:rsidRPr="004D3A02" w:rsidRDefault="00EB06C6" w:rsidP="00EB06C6">
      <w:pPr>
        <w:spacing w:line="360" w:lineRule="auto"/>
        <w:rPr>
          <w:rFonts w:asciiTheme="minorHAnsi" w:hAnsiTheme="minorHAnsi" w:cstheme="minorHAnsi"/>
          <w:sz w:val="20"/>
          <w:lang w:val="el-GR"/>
        </w:rPr>
      </w:pPr>
      <w:r w:rsidRPr="004D3A02">
        <w:rPr>
          <w:rFonts w:asciiTheme="minorHAnsi" w:hAnsiTheme="minorHAnsi" w:cstheme="minorHAnsi"/>
          <w:sz w:val="20"/>
          <w:lang w:val="el-GR"/>
        </w:rPr>
        <w:t xml:space="preserve"> ..........…………….………..………αριθμ…..Τ.Κ.………………Τηλ.…………………….</w:t>
      </w:r>
      <w:r w:rsidRPr="00A76651">
        <w:rPr>
          <w:rFonts w:asciiTheme="minorHAnsi" w:hAnsiTheme="minorHAnsi" w:cstheme="minorHAnsi"/>
          <w:sz w:val="20"/>
          <w:lang w:val="fr-FR"/>
        </w:rPr>
        <w:t>Fax</w:t>
      </w:r>
      <w:r w:rsidRPr="004D3A02">
        <w:rPr>
          <w:rFonts w:asciiTheme="minorHAnsi" w:hAnsiTheme="minorHAnsi" w:cstheme="minorHAnsi"/>
          <w:sz w:val="20"/>
          <w:lang w:val="el-GR"/>
        </w:rPr>
        <w:t>…………………….........................</w:t>
      </w:r>
    </w:p>
    <w:p w:rsidR="00EB06C6" w:rsidRPr="004D3A02" w:rsidRDefault="00EB06C6" w:rsidP="00EB06C6">
      <w:pPr>
        <w:keepNext/>
        <w:spacing w:before="120" w:after="60"/>
        <w:outlineLvl w:val="2"/>
        <w:rPr>
          <w:b/>
          <w:szCs w:val="22"/>
          <w:u w:val="single"/>
          <w:lang w:val="el-GR"/>
        </w:rPr>
      </w:pPr>
      <w:r w:rsidRPr="004D3A02">
        <w:rPr>
          <w:b/>
          <w:szCs w:val="22"/>
          <w:u w:val="single"/>
          <w:lang w:val="el-GR"/>
        </w:rPr>
        <w:t>Προς: Την «ΕΓΝΑΤΙΑ ΟΔΟΣ ΑΕ»</w:t>
      </w:r>
    </w:p>
    <w:p w:rsidR="00EB06C6" w:rsidRPr="004D3A02" w:rsidRDefault="00EB06C6" w:rsidP="00EB06C6">
      <w:pPr>
        <w:autoSpaceDE w:val="0"/>
        <w:autoSpaceDN w:val="0"/>
        <w:adjustRightInd w:val="0"/>
        <w:spacing w:after="60"/>
        <w:rPr>
          <w:szCs w:val="22"/>
          <w:lang w:val="el-GR"/>
        </w:rPr>
      </w:pPr>
      <w:r w:rsidRPr="004D3A02">
        <w:rPr>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EB06C6" w:rsidRDefault="00EB06C6" w:rsidP="00EB06C6">
      <w:pPr>
        <w:keepNext/>
        <w:spacing w:after="60"/>
        <w:outlineLvl w:val="2"/>
        <w:rPr>
          <w:rFonts w:cs="Arial"/>
          <w:szCs w:val="22"/>
          <w:lang w:val="el-GR"/>
        </w:rPr>
      </w:pPr>
    </w:p>
    <w:tbl>
      <w:tblPr>
        <w:tblStyle w:val="TableGrid"/>
        <w:tblW w:w="0" w:type="auto"/>
        <w:tblLook w:val="01E0" w:firstRow="1" w:lastRow="1" w:firstColumn="1" w:lastColumn="1" w:noHBand="0" w:noVBand="0"/>
      </w:tblPr>
      <w:tblGrid>
        <w:gridCol w:w="487"/>
        <w:gridCol w:w="2955"/>
        <w:gridCol w:w="1672"/>
        <w:gridCol w:w="1704"/>
        <w:gridCol w:w="1704"/>
      </w:tblGrid>
      <w:tr w:rsidR="00EB06C6" w:rsidTr="000F560B">
        <w:tc>
          <w:tcPr>
            <w:tcW w:w="534" w:type="dxa"/>
            <w:tcBorders>
              <w:top w:val="single" w:sz="4" w:space="0" w:color="auto"/>
              <w:left w:val="single" w:sz="4" w:space="0" w:color="auto"/>
              <w:bottom w:val="single" w:sz="4" w:space="0" w:color="auto"/>
              <w:right w:val="single" w:sz="4" w:space="0" w:color="auto"/>
            </w:tcBorders>
            <w:shd w:val="clear" w:color="auto" w:fill="E0E0E0"/>
          </w:tcPr>
          <w:p w:rsidR="00EB06C6" w:rsidRDefault="00EB06C6" w:rsidP="000F560B">
            <w:pPr>
              <w:spacing w:after="0"/>
              <w:ind w:left="-142" w:right="-108"/>
              <w:jc w:val="center"/>
              <w:rPr>
                <w:b/>
                <w:szCs w:val="22"/>
                <w:lang w:val="el-GR"/>
              </w:rPr>
            </w:pPr>
          </w:p>
          <w:p w:rsidR="00EB06C6" w:rsidRDefault="00EB06C6" w:rsidP="000F560B">
            <w:pPr>
              <w:spacing w:after="0"/>
              <w:ind w:left="-142" w:right="-108"/>
              <w:jc w:val="center"/>
              <w:rPr>
                <w:b/>
                <w:szCs w:val="22"/>
                <w:lang w:val="el-GR"/>
              </w:rPr>
            </w:pPr>
            <w:r>
              <w:rPr>
                <w:b/>
                <w:szCs w:val="22"/>
                <w:lang w:val="el-GR"/>
              </w:rPr>
              <w:t>α/α</w:t>
            </w:r>
          </w:p>
        </w:tc>
        <w:tc>
          <w:tcPr>
            <w:tcW w:w="3431" w:type="dxa"/>
            <w:tcBorders>
              <w:top w:val="single" w:sz="4" w:space="0" w:color="auto"/>
              <w:left w:val="single" w:sz="4" w:space="0" w:color="auto"/>
              <w:bottom w:val="single" w:sz="4" w:space="0" w:color="auto"/>
              <w:right w:val="single" w:sz="4" w:space="0" w:color="auto"/>
            </w:tcBorders>
            <w:shd w:val="clear" w:color="auto" w:fill="E0E0E0"/>
          </w:tcPr>
          <w:p w:rsidR="00EB06C6" w:rsidRDefault="00EB06C6" w:rsidP="000F560B">
            <w:pPr>
              <w:spacing w:after="0"/>
              <w:ind w:right="8"/>
              <w:jc w:val="center"/>
              <w:rPr>
                <w:b/>
                <w:szCs w:val="22"/>
                <w:lang w:val="en-US"/>
              </w:rPr>
            </w:pPr>
          </w:p>
          <w:p w:rsidR="00EB06C6" w:rsidRDefault="00EB06C6" w:rsidP="000F560B">
            <w:pPr>
              <w:spacing w:after="0"/>
              <w:ind w:right="8"/>
              <w:jc w:val="center"/>
              <w:rPr>
                <w:b/>
                <w:szCs w:val="22"/>
                <w:lang w:val="el-GR"/>
              </w:rPr>
            </w:pPr>
            <w:r>
              <w:rPr>
                <w:b/>
                <w:szCs w:val="22"/>
                <w:lang w:val="el-GR"/>
              </w:rPr>
              <w:t>Υπηρεσία</w:t>
            </w:r>
          </w:p>
        </w:tc>
        <w:tc>
          <w:tcPr>
            <w:tcW w:w="1963" w:type="dxa"/>
            <w:tcBorders>
              <w:top w:val="single" w:sz="4" w:space="0" w:color="auto"/>
              <w:left w:val="single" w:sz="4" w:space="0" w:color="auto"/>
              <w:bottom w:val="single" w:sz="4" w:space="0" w:color="auto"/>
              <w:right w:val="single" w:sz="4" w:space="0" w:color="auto"/>
            </w:tcBorders>
            <w:shd w:val="clear" w:color="auto" w:fill="E0E0E0"/>
          </w:tcPr>
          <w:p w:rsidR="00EB06C6" w:rsidRDefault="00EB06C6" w:rsidP="000F560B">
            <w:pPr>
              <w:spacing w:after="0"/>
              <w:jc w:val="center"/>
              <w:rPr>
                <w:b/>
                <w:szCs w:val="22"/>
                <w:lang w:val="en-US"/>
              </w:rPr>
            </w:pPr>
          </w:p>
          <w:p w:rsidR="00EB06C6" w:rsidRDefault="00EB06C6" w:rsidP="000F560B">
            <w:pPr>
              <w:spacing w:after="0"/>
              <w:jc w:val="center"/>
              <w:rPr>
                <w:b/>
                <w:szCs w:val="22"/>
                <w:lang w:val="el-GR"/>
              </w:rPr>
            </w:pPr>
            <w:r>
              <w:rPr>
                <w:b/>
                <w:szCs w:val="22"/>
                <w:lang w:val="el-GR"/>
              </w:rPr>
              <w:t>Ποσότητα</w:t>
            </w:r>
          </w:p>
          <w:p w:rsidR="00EB06C6" w:rsidRDefault="00EB06C6" w:rsidP="000F560B">
            <w:pPr>
              <w:keepNext/>
              <w:spacing w:after="60"/>
              <w:jc w:val="center"/>
              <w:outlineLvl w:val="2"/>
              <w:rPr>
                <w:rFonts w:cs="Arial"/>
                <w:szCs w:val="22"/>
                <w:lang w:val="el-GR"/>
              </w:rPr>
            </w:pPr>
            <w:r>
              <w:rPr>
                <w:b/>
                <w:szCs w:val="22"/>
                <w:lang w:val="el-GR"/>
              </w:rPr>
              <w:t>(1)</w:t>
            </w:r>
          </w:p>
        </w:tc>
        <w:tc>
          <w:tcPr>
            <w:tcW w:w="1963" w:type="dxa"/>
            <w:tcBorders>
              <w:top w:val="single" w:sz="4" w:space="0" w:color="auto"/>
              <w:left w:val="single" w:sz="4" w:space="0" w:color="auto"/>
              <w:bottom w:val="single" w:sz="4" w:space="0" w:color="auto"/>
              <w:right w:val="single" w:sz="4" w:space="0" w:color="auto"/>
            </w:tcBorders>
            <w:shd w:val="clear" w:color="auto" w:fill="E0E0E0"/>
            <w:hideMark/>
          </w:tcPr>
          <w:p w:rsidR="00EB06C6" w:rsidRDefault="00EB06C6" w:rsidP="000F560B">
            <w:pPr>
              <w:spacing w:after="0"/>
              <w:jc w:val="center"/>
              <w:rPr>
                <w:b/>
                <w:szCs w:val="22"/>
                <w:vertAlign w:val="superscript"/>
                <w:lang w:val="el-GR"/>
              </w:rPr>
            </w:pPr>
            <w:r>
              <w:rPr>
                <w:b/>
                <w:szCs w:val="22"/>
                <w:lang w:val="el-GR"/>
              </w:rPr>
              <w:t xml:space="preserve">Οικονομική Προσφορά </w:t>
            </w:r>
            <w:proofErr w:type="spellStart"/>
            <w:r>
              <w:rPr>
                <w:b/>
                <w:szCs w:val="22"/>
                <w:lang w:val="el-GR"/>
              </w:rPr>
              <w:t>ανα</w:t>
            </w:r>
            <w:proofErr w:type="spellEnd"/>
            <w:r>
              <w:rPr>
                <w:b/>
                <w:szCs w:val="22"/>
                <w:lang w:val="el-GR"/>
              </w:rPr>
              <w:t xml:space="preserve"> μ</w:t>
            </w:r>
            <w:r>
              <w:rPr>
                <w:b/>
                <w:szCs w:val="22"/>
                <w:vertAlign w:val="superscript"/>
                <w:lang w:val="el-GR"/>
              </w:rPr>
              <w:t>3</w:t>
            </w:r>
          </w:p>
          <w:p w:rsidR="00EB06C6" w:rsidRDefault="00EB06C6" w:rsidP="000F560B">
            <w:pPr>
              <w:keepNext/>
              <w:spacing w:after="0"/>
              <w:jc w:val="center"/>
              <w:outlineLvl w:val="2"/>
              <w:rPr>
                <w:rFonts w:cs="Arial"/>
                <w:szCs w:val="22"/>
                <w:lang w:val="el-GR"/>
              </w:rPr>
            </w:pPr>
            <w:r>
              <w:rPr>
                <w:b/>
                <w:szCs w:val="22"/>
                <w:lang w:val="el-GR"/>
              </w:rPr>
              <w:t>(2)</w:t>
            </w:r>
          </w:p>
        </w:tc>
        <w:tc>
          <w:tcPr>
            <w:tcW w:w="1963" w:type="dxa"/>
            <w:tcBorders>
              <w:top w:val="single" w:sz="4" w:space="0" w:color="auto"/>
              <w:left w:val="single" w:sz="4" w:space="0" w:color="auto"/>
              <w:bottom w:val="single" w:sz="4" w:space="0" w:color="auto"/>
              <w:right w:val="single" w:sz="4" w:space="0" w:color="auto"/>
            </w:tcBorders>
            <w:shd w:val="clear" w:color="auto" w:fill="E0E0E0"/>
            <w:hideMark/>
          </w:tcPr>
          <w:p w:rsidR="00EB06C6" w:rsidRDefault="00EB06C6" w:rsidP="000F560B">
            <w:pPr>
              <w:spacing w:after="0"/>
              <w:jc w:val="center"/>
              <w:rPr>
                <w:b/>
                <w:szCs w:val="22"/>
                <w:lang w:val="el-GR"/>
              </w:rPr>
            </w:pPr>
            <w:r>
              <w:rPr>
                <w:b/>
                <w:szCs w:val="22"/>
                <w:lang w:val="el-GR"/>
              </w:rPr>
              <w:t>Συνολική Προσφορά</w:t>
            </w:r>
          </w:p>
          <w:p w:rsidR="00EB06C6" w:rsidRDefault="00EB06C6" w:rsidP="000F560B">
            <w:pPr>
              <w:spacing w:after="0"/>
              <w:jc w:val="center"/>
              <w:rPr>
                <w:b/>
                <w:szCs w:val="22"/>
                <w:lang w:val="el-GR"/>
              </w:rPr>
            </w:pPr>
            <w:r>
              <w:rPr>
                <w:b/>
                <w:szCs w:val="22"/>
                <w:lang w:val="el-GR"/>
              </w:rPr>
              <w:t xml:space="preserve">(3) =(1) </w:t>
            </w:r>
            <w:r>
              <w:rPr>
                <w:b/>
                <w:szCs w:val="22"/>
                <w:lang w:val="en-US"/>
              </w:rPr>
              <w:t>X</w:t>
            </w:r>
            <w:r>
              <w:rPr>
                <w:b/>
                <w:szCs w:val="22"/>
                <w:lang w:val="el-GR"/>
              </w:rPr>
              <w:t xml:space="preserve"> (2)</w:t>
            </w:r>
          </w:p>
        </w:tc>
      </w:tr>
      <w:tr w:rsidR="00EB06C6" w:rsidTr="000F560B">
        <w:tc>
          <w:tcPr>
            <w:tcW w:w="534" w:type="dxa"/>
            <w:tcBorders>
              <w:top w:val="single" w:sz="4" w:space="0" w:color="auto"/>
              <w:left w:val="single" w:sz="4" w:space="0" w:color="auto"/>
              <w:bottom w:val="single" w:sz="4" w:space="0" w:color="auto"/>
              <w:right w:val="single" w:sz="4" w:space="0" w:color="auto"/>
            </w:tcBorders>
            <w:vAlign w:val="center"/>
            <w:hideMark/>
          </w:tcPr>
          <w:p w:rsidR="00EB06C6" w:rsidRDefault="00EB06C6" w:rsidP="000F560B">
            <w:pPr>
              <w:keepNext/>
              <w:spacing w:after="60"/>
              <w:jc w:val="center"/>
              <w:outlineLvl w:val="2"/>
              <w:rPr>
                <w:rFonts w:cs="Arial"/>
                <w:szCs w:val="22"/>
                <w:lang w:val="el-GR"/>
              </w:rPr>
            </w:pPr>
            <w:r>
              <w:rPr>
                <w:rFonts w:cs="Arial"/>
                <w:szCs w:val="22"/>
                <w:lang w:val="el-GR"/>
              </w:rPr>
              <w:t>1.</w:t>
            </w:r>
          </w:p>
        </w:tc>
        <w:tc>
          <w:tcPr>
            <w:tcW w:w="3431" w:type="dxa"/>
            <w:tcBorders>
              <w:top w:val="single" w:sz="4" w:space="0" w:color="auto"/>
              <w:left w:val="single" w:sz="4" w:space="0" w:color="auto"/>
              <w:bottom w:val="single" w:sz="4" w:space="0" w:color="auto"/>
              <w:right w:val="single" w:sz="4" w:space="0" w:color="auto"/>
            </w:tcBorders>
            <w:hideMark/>
          </w:tcPr>
          <w:p w:rsidR="00EB06C6" w:rsidRDefault="00EB06C6" w:rsidP="000F560B">
            <w:pPr>
              <w:keepNext/>
              <w:spacing w:after="60"/>
              <w:jc w:val="left"/>
              <w:outlineLvl w:val="2"/>
              <w:rPr>
                <w:rFonts w:cs="Arial"/>
                <w:szCs w:val="22"/>
                <w:lang w:val="el-GR"/>
              </w:rPr>
            </w:pPr>
            <w:r>
              <w:rPr>
                <w:rFonts w:cs="Arial"/>
                <w:szCs w:val="22"/>
                <w:lang w:val="el-GR"/>
              </w:rPr>
              <w:t>Εβδομαδιαία Εκκένωση Βόθρων των Κεντρικών Κτιριακών Εγκαταστάσεων της «Εγνατία Οδός Α.Ε.» για χρονικό διάστημα δύο (2) ετών</w:t>
            </w:r>
          </w:p>
        </w:tc>
        <w:tc>
          <w:tcPr>
            <w:tcW w:w="1963" w:type="dxa"/>
            <w:tcBorders>
              <w:top w:val="single" w:sz="4" w:space="0" w:color="auto"/>
              <w:left w:val="single" w:sz="4" w:space="0" w:color="auto"/>
              <w:bottom w:val="single" w:sz="4" w:space="0" w:color="auto"/>
              <w:right w:val="single" w:sz="4" w:space="0" w:color="auto"/>
            </w:tcBorders>
            <w:vAlign w:val="center"/>
            <w:hideMark/>
          </w:tcPr>
          <w:p w:rsidR="00EB06C6" w:rsidRDefault="00EB06C6" w:rsidP="000F560B">
            <w:pPr>
              <w:keepNext/>
              <w:spacing w:after="60"/>
              <w:jc w:val="center"/>
              <w:outlineLvl w:val="2"/>
              <w:rPr>
                <w:rFonts w:cs="Arial"/>
                <w:szCs w:val="22"/>
                <w:lang w:val="el-GR"/>
              </w:rPr>
            </w:pPr>
            <w:r>
              <w:rPr>
                <w:rFonts w:cs="Arial"/>
                <w:szCs w:val="22"/>
                <w:lang w:val="el-GR"/>
              </w:rPr>
              <w:t>3600 κυβικά μέτρα</w:t>
            </w:r>
          </w:p>
        </w:tc>
        <w:tc>
          <w:tcPr>
            <w:tcW w:w="1963" w:type="dxa"/>
            <w:tcBorders>
              <w:top w:val="single" w:sz="4" w:space="0" w:color="auto"/>
              <w:left w:val="single" w:sz="4" w:space="0" w:color="auto"/>
              <w:bottom w:val="single" w:sz="4" w:space="0" w:color="auto"/>
              <w:right w:val="single" w:sz="4" w:space="0" w:color="auto"/>
            </w:tcBorders>
            <w:vAlign w:val="center"/>
            <w:hideMark/>
          </w:tcPr>
          <w:p w:rsidR="00EB06C6" w:rsidRDefault="00EB06C6" w:rsidP="000F560B">
            <w:pPr>
              <w:keepNext/>
              <w:spacing w:after="60"/>
              <w:jc w:val="center"/>
              <w:outlineLvl w:val="2"/>
              <w:rPr>
                <w:rFonts w:cs="Arial"/>
                <w:szCs w:val="22"/>
                <w:lang w:val="el-GR"/>
              </w:rPr>
            </w:pPr>
            <w:r>
              <w:rPr>
                <w:rFonts w:cs="Arial"/>
                <w:szCs w:val="22"/>
                <w:lang w:val="el-GR"/>
              </w:rPr>
              <w:t>...........................</w:t>
            </w:r>
          </w:p>
        </w:tc>
        <w:tc>
          <w:tcPr>
            <w:tcW w:w="1963" w:type="dxa"/>
            <w:tcBorders>
              <w:top w:val="single" w:sz="4" w:space="0" w:color="auto"/>
              <w:left w:val="single" w:sz="4" w:space="0" w:color="auto"/>
              <w:bottom w:val="single" w:sz="4" w:space="0" w:color="auto"/>
              <w:right w:val="single" w:sz="4" w:space="0" w:color="auto"/>
            </w:tcBorders>
            <w:vAlign w:val="center"/>
            <w:hideMark/>
          </w:tcPr>
          <w:p w:rsidR="00EB06C6" w:rsidRDefault="00EB06C6" w:rsidP="000F560B">
            <w:pPr>
              <w:keepNext/>
              <w:spacing w:after="60"/>
              <w:jc w:val="center"/>
              <w:outlineLvl w:val="2"/>
              <w:rPr>
                <w:rFonts w:cs="Arial"/>
                <w:szCs w:val="22"/>
                <w:lang w:val="el-GR"/>
              </w:rPr>
            </w:pPr>
            <w:r>
              <w:rPr>
                <w:rFonts w:cs="Arial"/>
                <w:szCs w:val="22"/>
                <w:lang w:val="el-GR"/>
              </w:rPr>
              <w:t>...........................</w:t>
            </w:r>
          </w:p>
        </w:tc>
      </w:tr>
      <w:tr w:rsidR="00EB06C6" w:rsidTr="000F560B">
        <w:tc>
          <w:tcPr>
            <w:tcW w:w="9854" w:type="dxa"/>
            <w:gridSpan w:val="5"/>
            <w:tcBorders>
              <w:top w:val="single" w:sz="4" w:space="0" w:color="auto"/>
              <w:left w:val="single" w:sz="4" w:space="0" w:color="auto"/>
              <w:bottom w:val="single" w:sz="4" w:space="0" w:color="auto"/>
              <w:right w:val="single" w:sz="4" w:space="0" w:color="auto"/>
            </w:tcBorders>
            <w:hideMark/>
          </w:tcPr>
          <w:p w:rsidR="00EB06C6" w:rsidRDefault="00EB06C6" w:rsidP="000F560B">
            <w:pPr>
              <w:spacing w:after="60"/>
              <w:ind w:right="198"/>
              <w:rPr>
                <w:b/>
                <w:szCs w:val="22"/>
                <w:lang w:val="el-GR"/>
              </w:rPr>
            </w:pPr>
            <w:r>
              <w:rPr>
                <w:b/>
                <w:szCs w:val="22"/>
                <w:lang w:val="el-GR"/>
              </w:rPr>
              <w:t>Συνολική Οικονομική Προσφορά  (ολογράφως)</w:t>
            </w:r>
          </w:p>
          <w:p w:rsidR="00EB06C6" w:rsidRDefault="00EB06C6" w:rsidP="000F560B">
            <w:pPr>
              <w:spacing w:after="60"/>
              <w:rPr>
                <w:rFonts w:cs="Arial"/>
                <w:b/>
                <w:i/>
                <w:sz w:val="18"/>
                <w:szCs w:val="18"/>
                <w:u w:val="single"/>
                <w:lang w:val="el-GR"/>
              </w:rPr>
            </w:pPr>
            <w:r>
              <w:rPr>
                <w:b/>
                <w:szCs w:val="20"/>
                <w:lang w:val="el-GR"/>
              </w:rPr>
              <w:t>...............................................................................................................................................................</w:t>
            </w:r>
            <w:r>
              <w:rPr>
                <w:rFonts w:cs="Arial"/>
                <w:b/>
                <w:sz w:val="18"/>
                <w:szCs w:val="18"/>
                <w:lang w:val="el-GR"/>
              </w:rPr>
              <w:t>.......................</w:t>
            </w:r>
          </w:p>
        </w:tc>
      </w:tr>
    </w:tbl>
    <w:p w:rsidR="00EB06C6" w:rsidRDefault="00EB06C6" w:rsidP="00EB06C6">
      <w:pPr>
        <w:spacing w:after="60"/>
        <w:rPr>
          <w:rFonts w:cs="Arial"/>
          <w:b/>
          <w:i/>
          <w:sz w:val="18"/>
          <w:szCs w:val="18"/>
          <w:u w:val="single"/>
          <w:lang w:val="el-GR"/>
        </w:rPr>
      </w:pPr>
    </w:p>
    <w:p w:rsidR="00EB06C6" w:rsidRDefault="00EB06C6" w:rsidP="00EB06C6">
      <w:pPr>
        <w:spacing w:after="60"/>
        <w:rPr>
          <w:rFonts w:cs="Arial"/>
          <w:b/>
          <w:i/>
          <w:sz w:val="18"/>
          <w:szCs w:val="18"/>
          <w:u w:val="single"/>
          <w:lang w:val="el-GR"/>
        </w:rPr>
      </w:pPr>
      <w:r>
        <w:rPr>
          <w:rFonts w:cs="Arial"/>
          <w:b/>
          <w:i/>
          <w:sz w:val="18"/>
          <w:szCs w:val="18"/>
          <w:u w:val="single"/>
          <w:lang w:val="el-GR"/>
        </w:rPr>
        <w:t>Σημειώσεις:</w:t>
      </w:r>
    </w:p>
    <w:p w:rsidR="00EB06C6" w:rsidRDefault="00EB06C6" w:rsidP="00EB06C6">
      <w:pPr>
        <w:numPr>
          <w:ilvl w:val="0"/>
          <w:numId w:val="2"/>
        </w:numPr>
        <w:tabs>
          <w:tab w:val="num" w:pos="142"/>
        </w:tabs>
        <w:spacing w:after="0"/>
        <w:ind w:left="142" w:hanging="142"/>
        <w:rPr>
          <w:rFonts w:cs="Arial"/>
          <w:sz w:val="18"/>
          <w:szCs w:val="18"/>
          <w:lang w:val="el-GR"/>
        </w:rPr>
      </w:pPr>
      <w:r>
        <w:rPr>
          <w:rFonts w:cs="Arial"/>
          <w:sz w:val="18"/>
          <w:szCs w:val="18"/>
          <w:lang w:val="el-GR"/>
        </w:rPr>
        <w:t>Στις τιμές δεν περιλαμβάνεται ο ΦΠΑ.</w:t>
      </w:r>
    </w:p>
    <w:p w:rsidR="00EB06C6" w:rsidRDefault="00EB06C6" w:rsidP="00EB06C6">
      <w:pPr>
        <w:numPr>
          <w:ilvl w:val="0"/>
          <w:numId w:val="2"/>
        </w:numPr>
        <w:tabs>
          <w:tab w:val="num" w:pos="142"/>
        </w:tabs>
        <w:spacing w:after="0"/>
        <w:ind w:left="142" w:hanging="142"/>
        <w:rPr>
          <w:rFonts w:cs="Arial"/>
          <w:sz w:val="18"/>
          <w:szCs w:val="18"/>
          <w:lang w:val="el-GR"/>
        </w:rPr>
      </w:pPr>
      <w:r>
        <w:rPr>
          <w:rFonts w:cs="Arial"/>
          <w:sz w:val="18"/>
          <w:szCs w:val="18"/>
          <w:lang w:val="el-GR"/>
        </w:rPr>
        <w:t xml:space="preserve">Στις παραπάνω τιμές περιλαμβάνονται το όφελος, τα ειδικά, γενικά έξοδα, </w:t>
      </w:r>
      <w:proofErr w:type="spellStart"/>
      <w:r>
        <w:rPr>
          <w:rFonts w:cs="Arial"/>
          <w:sz w:val="18"/>
          <w:szCs w:val="18"/>
          <w:lang w:val="el-GR"/>
        </w:rPr>
        <w:t>κ.λ.π</w:t>
      </w:r>
      <w:proofErr w:type="spellEnd"/>
      <w:r>
        <w:rPr>
          <w:rFonts w:cs="Arial"/>
          <w:sz w:val="18"/>
          <w:szCs w:val="18"/>
          <w:lang w:val="el-GR"/>
        </w:rPr>
        <w:t xml:space="preserve">. του Προμηθευτή και κάθε άλλη δαπάνη που προκύπτει από την Διακήρυξη  του διαγωνισμού και το Παράρτημα Ι αυτής. </w:t>
      </w:r>
    </w:p>
    <w:p w:rsidR="00EB06C6" w:rsidRDefault="00EB06C6" w:rsidP="00EB06C6">
      <w:pPr>
        <w:numPr>
          <w:ilvl w:val="0"/>
          <w:numId w:val="2"/>
        </w:numPr>
        <w:tabs>
          <w:tab w:val="num" w:pos="142"/>
        </w:tabs>
        <w:spacing w:after="0"/>
        <w:ind w:left="142" w:hanging="142"/>
        <w:rPr>
          <w:rFonts w:cs="Arial"/>
          <w:sz w:val="18"/>
          <w:szCs w:val="18"/>
          <w:lang w:val="el-GR"/>
        </w:rPr>
      </w:pPr>
      <w:r>
        <w:rPr>
          <w:rFonts w:cs="Arial"/>
          <w:sz w:val="18"/>
          <w:szCs w:val="18"/>
          <w:lang w:val="el-GR"/>
        </w:rPr>
        <w:t>Η οικονομική προσφορά δεν μπορεί να υπερβαίνει το ποσό του προϋπολογισμού, ήτοι 15.000€ χωρίς ΦΠΑ</w:t>
      </w:r>
    </w:p>
    <w:p w:rsidR="00EB06C6" w:rsidRDefault="00EB06C6" w:rsidP="00EB06C6">
      <w:pPr>
        <w:rPr>
          <w:sz w:val="18"/>
          <w:szCs w:val="18"/>
          <w:lang w:val="el-GR"/>
        </w:rPr>
      </w:pPr>
    </w:p>
    <w:p w:rsidR="00EB06C6" w:rsidRPr="00A76651" w:rsidRDefault="00EB06C6" w:rsidP="00EB06C6">
      <w:pPr>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p w:rsidR="00EB06C6" w:rsidRPr="00A76651" w:rsidRDefault="00EB06C6" w:rsidP="00EB06C6">
      <w:pPr>
        <w:rPr>
          <w:rFonts w:asciiTheme="minorHAnsi" w:hAnsiTheme="minorHAnsi" w:cstheme="minorHAnsi"/>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4553"/>
      </w:tblGrid>
      <w:tr w:rsidR="00EB06C6" w:rsidRPr="00A76651" w:rsidTr="000F560B">
        <w:tc>
          <w:tcPr>
            <w:tcW w:w="4927" w:type="dxa"/>
          </w:tcPr>
          <w:p w:rsidR="00EB06C6" w:rsidRPr="00A76651" w:rsidRDefault="00EB06C6" w:rsidP="000F560B">
            <w:pPr>
              <w:jc w:val="center"/>
              <w:rPr>
                <w:rFonts w:asciiTheme="minorHAnsi" w:hAnsiTheme="minorHAnsi" w:cstheme="minorHAnsi"/>
                <w:b/>
                <w:bCs/>
                <w:szCs w:val="22"/>
                <w:lang w:val="el-GR"/>
              </w:rPr>
            </w:pPr>
          </w:p>
        </w:tc>
        <w:tc>
          <w:tcPr>
            <w:tcW w:w="4927" w:type="dxa"/>
          </w:tcPr>
          <w:p w:rsidR="00EB06C6" w:rsidRPr="00A76651" w:rsidRDefault="00EB06C6" w:rsidP="000F560B">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EB06C6" w:rsidRDefault="00EB06C6" w:rsidP="000F560B">
            <w:pPr>
              <w:rPr>
                <w:rFonts w:asciiTheme="minorHAnsi" w:hAnsiTheme="minorHAnsi" w:cstheme="minorHAnsi"/>
                <w:lang w:val="el-GR"/>
              </w:rPr>
            </w:pPr>
          </w:p>
          <w:p w:rsidR="00EB06C6" w:rsidRDefault="00EB06C6" w:rsidP="000F560B">
            <w:pPr>
              <w:rPr>
                <w:rFonts w:asciiTheme="minorHAnsi" w:hAnsiTheme="minorHAnsi" w:cstheme="minorHAnsi"/>
                <w:lang w:val="el-GR"/>
              </w:rPr>
            </w:pPr>
          </w:p>
          <w:p w:rsidR="00EB06C6" w:rsidRPr="00A76651" w:rsidRDefault="00EB06C6" w:rsidP="000F560B">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rsidR="00EB06C6" w:rsidRPr="00A76651" w:rsidRDefault="00EB06C6" w:rsidP="000F560B">
            <w:pPr>
              <w:jc w:val="center"/>
              <w:rPr>
                <w:rFonts w:asciiTheme="minorHAnsi" w:hAnsiTheme="minorHAnsi" w:cstheme="minorHAnsi"/>
                <w:b/>
                <w:bCs/>
                <w:szCs w:val="22"/>
                <w:lang w:val="el-GR"/>
              </w:rPr>
            </w:pPr>
          </w:p>
        </w:tc>
      </w:tr>
    </w:tbl>
    <w:p w:rsidR="00363C51" w:rsidRDefault="00363C51"/>
    <w:sectPr w:rsidR="00363C51" w:rsidSect="00EB06C6">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77E"/>
    <w:multiLevelType w:val="multilevel"/>
    <w:tmpl w:val="18408D80"/>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DD40D4B"/>
    <w:multiLevelType w:val="hybridMultilevel"/>
    <w:tmpl w:val="555C435E"/>
    <w:lvl w:ilvl="0" w:tplc="B9081D84">
      <w:numFmt w:val="bullet"/>
      <w:lvlText w:val="-"/>
      <w:lvlJc w:val="left"/>
      <w:pPr>
        <w:tabs>
          <w:tab w:val="num" w:pos="720"/>
        </w:tabs>
        <w:ind w:left="720" w:hanging="360"/>
      </w:pPr>
      <w:rPr>
        <w:rFonts w:ascii="Verdana" w:eastAsia="Arial" w:hAnsi="Verdana" w:cs="Arial" w:hint="default"/>
      </w:rPr>
    </w:lvl>
    <w:lvl w:ilvl="1" w:tplc="B4FA82DC" w:tentative="1">
      <w:start w:val="1"/>
      <w:numFmt w:val="bullet"/>
      <w:lvlText w:val="o"/>
      <w:lvlJc w:val="left"/>
      <w:pPr>
        <w:tabs>
          <w:tab w:val="num" w:pos="1440"/>
        </w:tabs>
        <w:ind w:left="1440" w:hanging="360"/>
      </w:pPr>
      <w:rPr>
        <w:rFonts w:ascii="Courier New" w:hAnsi="Courier New" w:cs="Courier New" w:hint="default"/>
      </w:rPr>
    </w:lvl>
    <w:lvl w:ilvl="2" w:tplc="99D4EC4E" w:tentative="1">
      <w:start w:val="1"/>
      <w:numFmt w:val="bullet"/>
      <w:lvlText w:val=""/>
      <w:lvlJc w:val="left"/>
      <w:pPr>
        <w:tabs>
          <w:tab w:val="num" w:pos="2160"/>
        </w:tabs>
        <w:ind w:left="2160" w:hanging="360"/>
      </w:pPr>
      <w:rPr>
        <w:rFonts w:ascii="Wingdings" w:hAnsi="Wingdings" w:hint="default"/>
      </w:rPr>
    </w:lvl>
    <w:lvl w:ilvl="3" w:tplc="F46EC15A" w:tentative="1">
      <w:start w:val="1"/>
      <w:numFmt w:val="bullet"/>
      <w:lvlText w:val=""/>
      <w:lvlJc w:val="left"/>
      <w:pPr>
        <w:tabs>
          <w:tab w:val="num" w:pos="2880"/>
        </w:tabs>
        <w:ind w:left="2880" w:hanging="360"/>
      </w:pPr>
      <w:rPr>
        <w:rFonts w:ascii="Symbol" w:hAnsi="Symbol" w:hint="default"/>
      </w:rPr>
    </w:lvl>
    <w:lvl w:ilvl="4" w:tplc="3990D6E0" w:tentative="1">
      <w:start w:val="1"/>
      <w:numFmt w:val="bullet"/>
      <w:lvlText w:val="o"/>
      <w:lvlJc w:val="left"/>
      <w:pPr>
        <w:tabs>
          <w:tab w:val="num" w:pos="3600"/>
        </w:tabs>
        <w:ind w:left="3600" w:hanging="360"/>
      </w:pPr>
      <w:rPr>
        <w:rFonts w:ascii="Courier New" w:hAnsi="Courier New" w:cs="Courier New" w:hint="default"/>
      </w:rPr>
    </w:lvl>
    <w:lvl w:ilvl="5" w:tplc="01D0DF22" w:tentative="1">
      <w:start w:val="1"/>
      <w:numFmt w:val="bullet"/>
      <w:lvlText w:val=""/>
      <w:lvlJc w:val="left"/>
      <w:pPr>
        <w:tabs>
          <w:tab w:val="num" w:pos="4320"/>
        </w:tabs>
        <w:ind w:left="4320" w:hanging="360"/>
      </w:pPr>
      <w:rPr>
        <w:rFonts w:ascii="Wingdings" w:hAnsi="Wingdings" w:hint="default"/>
      </w:rPr>
    </w:lvl>
    <w:lvl w:ilvl="6" w:tplc="97D0B312" w:tentative="1">
      <w:start w:val="1"/>
      <w:numFmt w:val="bullet"/>
      <w:lvlText w:val=""/>
      <w:lvlJc w:val="left"/>
      <w:pPr>
        <w:tabs>
          <w:tab w:val="num" w:pos="5040"/>
        </w:tabs>
        <w:ind w:left="5040" w:hanging="360"/>
      </w:pPr>
      <w:rPr>
        <w:rFonts w:ascii="Symbol" w:hAnsi="Symbol" w:hint="default"/>
      </w:rPr>
    </w:lvl>
    <w:lvl w:ilvl="7" w:tplc="409C1878" w:tentative="1">
      <w:start w:val="1"/>
      <w:numFmt w:val="bullet"/>
      <w:lvlText w:val="o"/>
      <w:lvlJc w:val="left"/>
      <w:pPr>
        <w:tabs>
          <w:tab w:val="num" w:pos="5760"/>
        </w:tabs>
        <w:ind w:left="5760" w:hanging="360"/>
      </w:pPr>
      <w:rPr>
        <w:rFonts w:ascii="Courier New" w:hAnsi="Courier New" w:cs="Courier New" w:hint="default"/>
      </w:rPr>
    </w:lvl>
    <w:lvl w:ilvl="8" w:tplc="26A6FF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C6"/>
    <w:rsid w:val="00363C51"/>
    <w:rsid w:val="00EB06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C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B06C6"/>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EB06C6"/>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EB06C6"/>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EB06C6"/>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EB06C6"/>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EB06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06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06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06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C6"/>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EB06C6"/>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EB06C6"/>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EB06C6"/>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EB06C6"/>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EB06C6"/>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EB06C6"/>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EB06C6"/>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EB06C6"/>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EB06C6"/>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C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B06C6"/>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EB06C6"/>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EB06C6"/>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EB06C6"/>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EB06C6"/>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EB06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06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06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06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C6"/>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EB06C6"/>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EB06C6"/>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EB06C6"/>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EB06C6"/>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EB06C6"/>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EB06C6"/>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EB06C6"/>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EB06C6"/>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EB06C6"/>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Konstantia Iordanidou</dc:creator>
  <cp:lastModifiedBy>Konstantia Iordanidou</cp:lastModifiedBy>
  <cp:revision>1</cp:revision>
  <dcterms:created xsi:type="dcterms:W3CDTF">2022-04-12T14:41:00Z</dcterms:created>
  <dcterms:modified xsi:type="dcterms:W3CDTF">2022-04-12T14:45:00Z</dcterms:modified>
</cp:coreProperties>
</file>